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CF" w:rsidRPr="003C21CF" w:rsidRDefault="00FC7E12" w:rsidP="003B35F3">
      <w:pPr>
        <w:jc w:val="both"/>
        <w:rPr>
          <w:rFonts w:ascii="Times New Roman" w:hAnsi="Times New Roman" w:cs="Times New Roman"/>
          <w:sz w:val="28"/>
          <w:szCs w:val="28"/>
        </w:rPr>
      </w:pPr>
      <w:r w:rsidRPr="003C21CF">
        <w:rPr>
          <w:rFonts w:ascii="Times New Roman" w:hAnsi="Times New Roman" w:cs="Times New Roman"/>
          <w:b/>
          <w:sz w:val="28"/>
          <w:szCs w:val="28"/>
        </w:rPr>
        <w:t xml:space="preserve">Profesor zw. dr hab. dr h.c. </w:t>
      </w:r>
      <w:proofErr w:type="spellStart"/>
      <w:r w:rsidRPr="003C21CF">
        <w:rPr>
          <w:rFonts w:ascii="Times New Roman" w:hAnsi="Times New Roman" w:cs="Times New Roman"/>
          <w:b/>
          <w:sz w:val="28"/>
          <w:szCs w:val="28"/>
        </w:rPr>
        <w:t>multi</w:t>
      </w:r>
      <w:proofErr w:type="spellEnd"/>
      <w:r w:rsidRPr="003C21CF">
        <w:rPr>
          <w:rFonts w:ascii="Times New Roman" w:hAnsi="Times New Roman" w:cs="Times New Roman"/>
          <w:b/>
          <w:sz w:val="28"/>
          <w:szCs w:val="28"/>
        </w:rPr>
        <w:t xml:space="preserve">  Andrzej Gospodarowicz</w:t>
      </w:r>
      <w:r w:rsidRPr="003C21CF">
        <w:rPr>
          <w:rFonts w:ascii="Times New Roman" w:hAnsi="Times New Roman" w:cs="Times New Roman"/>
          <w:sz w:val="28"/>
          <w:szCs w:val="28"/>
        </w:rPr>
        <w:t xml:space="preserve"> </w:t>
      </w:r>
      <w:r w:rsidR="00327244" w:rsidRPr="003C21CF">
        <w:rPr>
          <w:rFonts w:ascii="Times New Roman" w:hAnsi="Times New Roman" w:cs="Times New Roman"/>
          <w:sz w:val="28"/>
          <w:szCs w:val="28"/>
        </w:rPr>
        <w:t>s</w:t>
      </w:r>
      <w:r w:rsidR="00194535" w:rsidRPr="003C21CF">
        <w:rPr>
          <w:rFonts w:ascii="Times New Roman" w:hAnsi="Times New Roman" w:cs="Times New Roman"/>
          <w:sz w:val="28"/>
          <w:szCs w:val="28"/>
        </w:rPr>
        <w:t>tudiował w latach 1962-1965 w Szkole Głównej Planowania i Statystyki w Warszawie (obecnie Szkoła Główna Handlowa) na kierunku ekonomika handlu i w latach 1965-1968 w Moskiewskim Instytucie Ekonomiczno-Statystycznym na kierunku przetwarzanie danych i ekonometria.</w:t>
      </w:r>
      <w:r w:rsidRPr="003C21CF">
        <w:rPr>
          <w:rFonts w:ascii="Times New Roman" w:hAnsi="Times New Roman" w:cs="Times New Roman"/>
          <w:sz w:val="28"/>
          <w:szCs w:val="28"/>
        </w:rPr>
        <w:t xml:space="preserve"> </w:t>
      </w:r>
      <w:r w:rsidR="00194535" w:rsidRPr="003C21CF">
        <w:rPr>
          <w:rFonts w:ascii="Times New Roman" w:hAnsi="Times New Roman" w:cs="Times New Roman"/>
          <w:sz w:val="28"/>
          <w:szCs w:val="28"/>
        </w:rPr>
        <w:t xml:space="preserve">Doktorat obronił w 1976 r. na Akademii Ekonomicznej we Wrocławiu, stopień doktora habilitowanego uzyskał w 1986 r., a tytuł profesora w 1992 r. </w:t>
      </w:r>
    </w:p>
    <w:p w:rsidR="003B35F3" w:rsidRPr="003C21CF" w:rsidRDefault="00194535" w:rsidP="003B35F3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>W roku 2011 tytuł doktora honoris causa nada</w:t>
      </w:r>
      <w:r w:rsidR="00327244"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>ł</w:t>
      </w:r>
      <w:r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Profesorowi Uniwersytet Wileński,</w:t>
      </w:r>
      <w:r w:rsidRPr="003C2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>w 2014 r. tytuł</w:t>
      </w:r>
      <w:r w:rsidR="00327244"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>em</w:t>
      </w:r>
      <w:r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doktora honoris causa </w:t>
      </w:r>
      <w:r w:rsidR="00327244"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>uhonorował</w:t>
      </w:r>
      <w:r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Profesor</w:t>
      </w:r>
      <w:r w:rsidR="00327244"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>a</w:t>
      </w:r>
      <w:r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Andrzej</w:t>
      </w:r>
      <w:r w:rsidR="00327244"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>a</w:t>
      </w:r>
      <w:r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Gospodarowicz</w:t>
      </w:r>
      <w:r w:rsidR="00327244"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>a</w:t>
      </w:r>
      <w:r w:rsidRPr="003C21CF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Senat Państwowego Ukraińskiego Uniwersytetu Finansów i Handlu Międzynarodowego w Kijowie.</w:t>
      </w:r>
      <w:r w:rsidR="00327244" w:rsidRPr="003C21CF">
        <w:rPr>
          <w:rFonts w:ascii="Times New Roman" w:hAnsi="Times New Roman" w:cs="Times New Roman"/>
          <w:sz w:val="28"/>
          <w:szCs w:val="28"/>
        </w:rPr>
        <w:t xml:space="preserve"> </w:t>
      </w:r>
      <w:r w:rsidR="003C21CF" w:rsidRPr="003C21CF">
        <w:rPr>
          <w:rFonts w:ascii="Times New Roman" w:hAnsi="Times New Roman" w:cs="Times New Roman"/>
          <w:sz w:val="28"/>
          <w:szCs w:val="28"/>
        </w:rPr>
        <w:t>W 2016 r. S</w:t>
      </w:r>
      <w:r w:rsidR="003C21CF" w:rsidRPr="003C21CF">
        <w:rPr>
          <w:rFonts w:ascii="Times New Roman" w:hAnsi="Times New Roman" w:cs="Times New Roman"/>
          <w:sz w:val="28"/>
          <w:szCs w:val="28"/>
        </w:rPr>
        <w:t>enat Lwowskiego Uniwersytetu Handlu i Ekonomii nadał</w:t>
      </w:r>
      <w:r w:rsidR="00CE2AE8">
        <w:rPr>
          <w:rFonts w:ascii="Times New Roman" w:hAnsi="Times New Roman" w:cs="Times New Roman"/>
          <w:sz w:val="28"/>
          <w:szCs w:val="28"/>
        </w:rPr>
        <w:t xml:space="preserve"> P</w:t>
      </w:r>
      <w:bookmarkStart w:id="0" w:name="_GoBack"/>
      <w:bookmarkEnd w:id="0"/>
      <w:r w:rsidR="00CE2AE8">
        <w:rPr>
          <w:rFonts w:ascii="Times New Roman" w:hAnsi="Times New Roman" w:cs="Times New Roman"/>
          <w:sz w:val="28"/>
          <w:szCs w:val="28"/>
        </w:rPr>
        <w:t>rofesorowi</w:t>
      </w:r>
      <w:r w:rsidR="003C21CF" w:rsidRPr="003C21CF">
        <w:rPr>
          <w:rFonts w:ascii="Times New Roman" w:hAnsi="Times New Roman" w:cs="Times New Roman"/>
          <w:sz w:val="28"/>
          <w:szCs w:val="28"/>
        </w:rPr>
        <w:t xml:space="preserve"> tytuł doktora honoris causa</w:t>
      </w:r>
      <w:r w:rsidR="003C21CF" w:rsidRPr="003C2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244" w:rsidRPr="003C21CF" w:rsidRDefault="00FC7E12" w:rsidP="00FC7E12">
      <w:pPr>
        <w:jc w:val="both"/>
        <w:rPr>
          <w:rFonts w:ascii="Times New Roman" w:hAnsi="Times New Roman" w:cs="Times New Roman"/>
          <w:sz w:val="28"/>
          <w:szCs w:val="28"/>
        </w:rPr>
      </w:pPr>
      <w:r w:rsidRPr="003C21CF">
        <w:rPr>
          <w:rFonts w:ascii="Times New Roman" w:hAnsi="Times New Roman" w:cs="Times New Roman"/>
          <w:sz w:val="28"/>
          <w:szCs w:val="28"/>
        </w:rPr>
        <w:t xml:space="preserve">Profesor Andrzej Gospodarowicz </w:t>
      </w:r>
      <w:r w:rsidR="003C21CF" w:rsidRPr="003C21CF">
        <w:rPr>
          <w:rFonts w:ascii="Times New Roman" w:hAnsi="Times New Roman" w:cs="Times New Roman"/>
          <w:sz w:val="28"/>
          <w:szCs w:val="28"/>
        </w:rPr>
        <w:t>pracuje  w Katedrze</w:t>
      </w:r>
      <w:r w:rsidRPr="003C21CF">
        <w:rPr>
          <w:rFonts w:ascii="Times New Roman" w:hAnsi="Times New Roman" w:cs="Times New Roman"/>
          <w:sz w:val="28"/>
          <w:szCs w:val="28"/>
        </w:rPr>
        <w:t xml:space="preserve"> Bankowości (</w:t>
      </w:r>
      <w:r w:rsidR="003C21CF" w:rsidRPr="003C21CF">
        <w:rPr>
          <w:rFonts w:ascii="Times New Roman" w:hAnsi="Times New Roman" w:cs="Times New Roman"/>
          <w:sz w:val="28"/>
          <w:szCs w:val="28"/>
        </w:rPr>
        <w:t>którą kierował w latach</w:t>
      </w:r>
      <w:r w:rsidRPr="003C21CF">
        <w:rPr>
          <w:rFonts w:ascii="Times New Roman" w:hAnsi="Times New Roman" w:cs="Times New Roman"/>
          <w:sz w:val="28"/>
          <w:szCs w:val="28"/>
        </w:rPr>
        <w:t xml:space="preserve"> 2004</w:t>
      </w:r>
      <w:r w:rsidR="003C21CF" w:rsidRPr="003C21CF">
        <w:rPr>
          <w:rFonts w:ascii="Times New Roman" w:hAnsi="Times New Roman" w:cs="Times New Roman"/>
          <w:sz w:val="28"/>
          <w:szCs w:val="28"/>
        </w:rPr>
        <w:t>-2016</w:t>
      </w:r>
      <w:r w:rsidRPr="003C21CF">
        <w:rPr>
          <w:rFonts w:ascii="Times New Roman" w:hAnsi="Times New Roman" w:cs="Times New Roman"/>
          <w:sz w:val="28"/>
          <w:szCs w:val="28"/>
        </w:rPr>
        <w:t>)</w:t>
      </w:r>
      <w:r w:rsidR="003C21CF" w:rsidRPr="003C21CF">
        <w:rPr>
          <w:rFonts w:ascii="Times New Roman" w:hAnsi="Times New Roman" w:cs="Times New Roman"/>
          <w:sz w:val="28"/>
          <w:szCs w:val="28"/>
        </w:rPr>
        <w:t>,</w:t>
      </w:r>
      <w:r w:rsidRPr="003C21CF">
        <w:rPr>
          <w:rFonts w:ascii="Times New Roman" w:hAnsi="Times New Roman" w:cs="Times New Roman"/>
          <w:sz w:val="28"/>
          <w:szCs w:val="28"/>
        </w:rPr>
        <w:t xml:space="preserve"> </w:t>
      </w:r>
      <w:r w:rsidR="00194535" w:rsidRPr="003C21CF">
        <w:rPr>
          <w:rFonts w:ascii="Times New Roman" w:hAnsi="Times New Roman" w:cs="Times New Roman"/>
          <w:sz w:val="28"/>
          <w:szCs w:val="28"/>
        </w:rPr>
        <w:t>w Instytucie Zarządzania Finansami na Wydziale Zarządzania, Informatyki i Finansów</w:t>
      </w:r>
      <w:r w:rsidR="00327244" w:rsidRPr="003C21CF">
        <w:rPr>
          <w:rFonts w:ascii="Times New Roman" w:hAnsi="Times New Roman" w:cs="Times New Roman"/>
          <w:sz w:val="28"/>
          <w:szCs w:val="28"/>
        </w:rPr>
        <w:t>. Zainteresowania badawcze: ryzyko bankowe, bankowość elektroniczna, zarządzanie bankiem. Opublikował łącznie ponad 200 pozycji oraz wypromował 18 doktorów.</w:t>
      </w:r>
      <w:r w:rsidR="003B35F3" w:rsidRPr="003C2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E12" w:rsidRPr="003C21CF" w:rsidRDefault="00327244" w:rsidP="00FC7E12">
      <w:pPr>
        <w:jc w:val="both"/>
        <w:rPr>
          <w:rFonts w:ascii="Times New Roman" w:hAnsi="Times New Roman" w:cs="Times New Roman"/>
          <w:sz w:val="28"/>
          <w:szCs w:val="28"/>
        </w:rPr>
      </w:pPr>
      <w:r w:rsidRPr="003C21CF">
        <w:rPr>
          <w:rFonts w:ascii="Times New Roman" w:hAnsi="Times New Roman" w:cs="Times New Roman"/>
          <w:sz w:val="28"/>
          <w:szCs w:val="28"/>
        </w:rPr>
        <w:t>Profesor p</w:t>
      </w:r>
      <w:r w:rsidR="00194535" w:rsidRPr="003C21CF">
        <w:rPr>
          <w:rFonts w:ascii="Times New Roman" w:hAnsi="Times New Roman" w:cs="Times New Roman"/>
          <w:sz w:val="28"/>
          <w:szCs w:val="28"/>
        </w:rPr>
        <w:t>iastował na uczelni szereg funkcji kierowniczych, m.in. był kierownikiem Katedry Metod Komputerowych w Zarządzaniu (1992-1998), kierownikiem Katedry Zarządzania Bankiem (1993-2003</w:t>
      </w:r>
      <w:r w:rsidR="00FC7E12" w:rsidRPr="003C21CF">
        <w:rPr>
          <w:rFonts w:ascii="Times New Roman" w:hAnsi="Times New Roman" w:cs="Times New Roman"/>
          <w:sz w:val="28"/>
          <w:szCs w:val="28"/>
        </w:rPr>
        <w:t>)</w:t>
      </w:r>
      <w:r w:rsidR="00194535" w:rsidRPr="003C21CF">
        <w:rPr>
          <w:rFonts w:ascii="Times New Roman" w:hAnsi="Times New Roman" w:cs="Times New Roman"/>
          <w:sz w:val="28"/>
          <w:szCs w:val="28"/>
        </w:rPr>
        <w:t>.</w:t>
      </w:r>
      <w:r w:rsidR="00FC7E12" w:rsidRPr="003C21CF">
        <w:rPr>
          <w:rFonts w:ascii="Times New Roman" w:hAnsi="Times New Roman" w:cs="Times New Roman"/>
          <w:sz w:val="28"/>
          <w:szCs w:val="28"/>
        </w:rPr>
        <w:t xml:space="preserve"> K</w:t>
      </w:r>
      <w:r w:rsidR="00194535" w:rsidRPr="003C21CF">
        <w:rPr>
          <w:rFonts w:ascii="Times New Roman" w:hAnsi="Times New Roman" w:cs="Times New Roman"/>
          <w:sz w:val="28"/>
          <w:szCs w:val="28"/>
        </w:rPr>
        <w:t>ierow</w:t>
      </w:r>
      <w:r w:rsidR="00FC7E12" w:rsidRPr="003C21CF">
        <w:rPr>
          <w:rFonts w:ascii="Times New Roman" w:hAnsi="Times New Roman" w:cs="Times New Roman"/>
          <w:sz w:val="28"/>
          <w:szCs w:val="28"/>
        </w:rPr>
        <w:t>ał</w:t>
      </w:r>
      <w:r w:rsidR="00194535" w:rsidRPr="003C21CF">
        <w:rPr>
          <w:rFonts w:ascii="Times New Roman" w:hAnsi="Times New Roman" w:cs="Times New Roman"/>
          <w:sz w:val="28"/>
          <w:szCs w:val="28"/>
        </w:rPr>
        <w:t xml:space="preserve"> Międzynarodow</w:t>
      </w:r>
      <w:r w:rsidR="00FC7E12" w:rsidRPr="003C21CF">
        <w:rPr>
          <w:rFonts w:ascii="Times New Roman" w:hAnsi="Times New Roman" w:cs="Times New Roman"/>
          <w:sz w:val="28"/>
          <w:szCs w:val="28"/>
        </w:rPr>
        <w:t>ym Studium Doktoranckim</w:t>
      </w:r>
      <w:r w:rsidR="00194535" w:rsidRPr="003C21CF">
        <w:rPr>
          <w:rFonts w:ascii="Times New Roman" w:hAnsi="Times New Roman" w:cs="Times New Roman"/>
          <w:sz w:val="28"/>
          <w:szCs w:val="28"/>
        </w:rPr>
        <w:t xml:space="preserve"> (1993-1996), </w:t>
      </w:r>
      <w:r w:rsidR="00FC7E12" w:rsidRPr="003C21CF">
        <w:rPr>
          <w:rFonts w:ascii="Times New Roman" w:hAnsi="Times New Roman" w:cs="Times New Roman"/>
          <w:sz w:val="28"/>
          <w:szCs w:val="28"/>
        </w:rPr>
        <w:t xml:space="preserve">był </w:t>
      </w:r>
      <w:r w:rsidR="00194535" w:rsidRPr="003C21CF">
        <w:rPr>
          <w:rFonts w:ascii="Times New Roman" w:hAnsi="Times New Roman" w:cs="Times New Roman"/>
          <w:sz w:val="28"/>
          <w:szCs w:val="28"/>
        </w:rPr>
        <w:t>kierownikiem Studium Doktoranckiego na Wydziale Zarządzania i Informatyki (1997-2005); dwie kadencje pełnił funkcję dziekana Wydziału Zarządzania i Informatyki w latach 1990-1996 oraz prorektora ds. Nauki (2005-2012). Jest członkiem Senatu od 1990 r.</w:t>
      </w:r>
      <w:r w:rsidR="00FC7E12" w:rsidRPr="003C21CF">
        <w:rPr>
          <w:rFonts w:ascii="Times New Roman" w:hAnsi="Times New Roman" w:cs="Times New Roman"/>
          <w:sz w:val="28"/>
          <w:szCs w:val="28"/>
        </w:rPr>
        <w:t xml:space="preserve"> Profesor Andrzej Gospodarowicz </w:t>
      </w:r>
      <w:r w:rsidR="003C21CF" w:rsidRPr="003C21CF">
        <w:rPr>
          <w:rFonts w:ascii="Times New Roman" w:hAnsi="Times New Roman" w:cs="Times New Roman"/>
          <w:sz w:val="28"/>
          <w:szCs w:val="28"/>
        </w:rPr>
        <w:t>w kadencji 2012-2016</w:t>
      </w:r>
      <w:r w:rsidR="003C21CF" w:rsidRPr="003C21CF">
        <w:rPr>
          <w:rFonts w:ascii="Times New Roman" w:hAnsi="Times New Roman" w:cs="Times New Roman"/>
          <w:sz w:val="28"/>
          <w:szCs w:val="28"/>
        </w:rPr>
        <w:t xml:space="preserve"> </w:t>
      </w:r>
      <w:r w:rsidR="00FC7E12" w:rsidRPr="003C21CF">
        <w:rPr>
          <w:rFonts w:ascii="Times New Roman" w:hAnsi="Times New Roman" w:cs="Times New Roman"/>
          <w:sz w:val="28"/>
          <w:szCs w:val="28"/>
        </w:rPr>
        <w:t>pełni</w:t>
      </w:r>
      <w:r w:rsidR="003C21CF" w:rsidRPr="003C21CF">
        <w:rPr>
          <w:rFonts w:ascii="Times New Roman" w:hAnsi="Times New Roman" w:cs="Times New Roman"/>
          <w:sz w:val="28"/>
          <w:szCs w:val="28"/>
        </w:rPr>
        <w:t>ł</w:t>
      </w:r>
      <w:r w:rsidR="00FC7E12" w:rsidRPr="003C21CF">
        <w:rPr>
          <w:rFonts w:ascii="Times New Roman" w:hAnsi="Times New Roman" w:cs="Times New Roman"/>
          <w:sz w:val="28"/>
          <w:szCs w:val="28"/>
        </w:rPr>
        <w:t xml:space="preserve"> funkcję rektora Uniwersytetu Ekonomicznego we Wrocławiu.</w:t>
      </w:r>
    </w:p>
    <w:p w:rsidR="003B35F3" w:rsidRPr="003C21CF" w:rsidRDefault="00194535" w:rsidP="003B35F3">
      <w:pPr>
        <w:jc w:val="both"/>
        <w:rPr>
          <w:rFonts w:ascii="Times New Roman" w:hAnsi="Times New Roman" w:cs="Times New Roman"/>
          <w:sz w:val="28"/>
          <w:szCs w:val="28"/>
        </w:rPr>
      </w:pPr>
      <w:r w:rsidRPr="003C21CF">
        <w:rPr>
          <w:rFonts w:ascii="Times New Roman" w:hAnsi="Times New Roman" w:cs="Times New Roman"/>
          <w:sz w:val="28"/>
          <w:szCs w:val="28"/>
        </w:rPr>
        <w:t xml:space="preserve">Kierował kilkoma projektami badawczymi, m.in. </w:t>
      </w:r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Analiza i ocena pakietów programowych</w:t>
      </w:r>
      <w:r w:rsidRPr="003C21CF">
        <w:rPr>
          <w:rFonts w:ascii="Times New Roman" w:hAnsi="Times New Roman" w:cs="Times New Roman"/>
          <w:sz w:val="28"/>
          <w:szCs w:val="28"/>
        </w:rPr>
        <w:t xml:space="preserve"> (1996); </w:t>
      </w:r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Analiza i ocena banków i ich oddziałów</w:t>
      </w:r>
      <w:r w:rsidRPr="003C21CF">
        <w:rPr>
          <w:rFonts w:ascii="Times New Roman" w:hAnsi="Times New Roman" w:cs="Times New Roman"/>
          <w:sz w:val="28"/>
          <w:szCs w:val="28"/>
        </w:rPr>
        <w:t xml:space="preserve"> (2000); </w:t>
      </w:r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Funkcjonowanie spółdzielczych grup bankowych w Polsce i wybranych krajach Unii Europejskiej</w:t>
      </w:r>
      <w:r w:rsidRPr="003C21CF">
        <w:rPr>
          <w:rFonts w:ascii="Times New Roman" w:hAnsi="Times New Roman" w:cs="Times New Roman"/>
          <w:sz w:val="28"/>
          <w:szCs w:val="28"/>
        </w:rPr>
        <w:t xml:space="preserve"> (2007).</w:t>
      </w:r>
    </w:p>
    <w:p w:rsidR="003B35F3" w:rsidRPr="003C21CF" w:rsidRDefault="00194535" w:rsidP="003B35F3">
      <w:pPr>
        <w:jc w:val="both"/>
        <w:rPr>
          <w:rFonts w:ascii="Times New Roman" w:hAnsi="Times New Roman" w:cs="Times New Roman"/>
          <w:sz w:val="28"/>
          <w:szCs w:val="28"/>
        </w:rPr>
      </w:pPr>
      <w:r w:rsidRPr="003C21CF">
        <w:rPr>
          <w:rFonts w:ascii="Times New Roman" w:hAnsi="Times New Roman" w:cs="Times New Roman"/>
          <w:sz w:val="28"/>
          <w:szCs w:val="28"/>
        </w:rPr>
        <w:t xml:space="preserve">W roku akademickim 1981/1982 przebywał na stażu naukowym na Uniwersytecie w Wiedniu. Był również kilkakrotnie profesorem wizytującym na tym Uniwersytecie (1986//1987, 1992, 1997) oraz na Uniwersytecie w Linzu (1990, 1995). W roku 2007 został wybrany na Przewodniczącego Komitetu </w:t>
      </w:r>
      <w:r w:rsidRPr="003C21CF">
        <w:rPr>
          <w:rFonts w:ascii="Times New Roman" w:hAnsi="Times New Roman" w:cs="Times New Roman"/>
          <w:sz w:val="28"/>
          <w:szCs w:val="28"/>
        </w:rPr>
        <w:lastRenderedPageBreak/>
        <w:t>Nauk o Finansach Polskiej Akademii Nauk, zaś w 2012 r. powierzono mu pełnienie tej funkcji na drugą kadencję.</w:t>
      </w:r>
    </w:p>
    <w:p w:rsidR="003B35F3" w:rsidRPr="003C21CF" w:rsidRDefault="00194535" w:rsidP="003B35F3">
      <w:pPr>
        <w:jc w:val="both"/>
        <w:rPr>
          <w:rFonts w:ascii="Times New Roman" w:hAnsi="Times New Roman" w:cs="Times New Roman"/>
          <w:sz w:val="28"/>
          <w:szCs w:val="28"/>
        </w:rPr>
      </w:pPr>
      <w:r w:rsidRPr="003C21CF">
        <w:rPr>
          <w:rFonts w:ascii="Times New Roman" w:hAnsi="Times New Roman" w:cs="Times New Roman"/>
          <w:sz w:val="28"/>
          <w:szCs w:val="28"/>
        </w:rPr>
        <w:br/>
        <w:t xml:space="preserve">Od szeregu lat utrzymuje ścisłe kontakty naukowe z Uniwersytetem w Wiedniu, Uniwersytetem w Linzu, Uniwersytetem w Wilnie, Uniwersytetem Rolniczym w Kownie oraz Uniwersytetem Ekonomiki i Finansów w St. Petersburgu. Jest członkiem Rad programowych szeregu czasopism, m.in. Ekonomika (Litwa),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Transformations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 in Business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 (Litwa), Bezpieczny Bank, Gazeta Bankowa.</w:t>
      </w:r>
      <w:r w:rsidRPr="003C21CF">
        <w:rPr>
          <w:rFonts w:ascii="Times New Roman" w:hAnsi="Times New Roman" w:cs="Times New Roman"/>
          <w:sz w:val="28"/>
          <w:szCs w:val="28"/>
        </w:rPr>
        <w:br/>
        <w:t xml:space="preserve">Najważniejsze publikacje to: </w:t>
      </w:r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Harmonogramy przedsięwzięć czasowo-przestrzennych i przybliżone metody ich wyznaczania</w:t>
      </w:r>
      <w:r w:rsidRPr="003C21CF">
        <w:rPr>
          <w:rFonts w:ascii="Times New Roman" w:hAnsi="Times New Roman" w:cs="Times New Roman"/>
          <w:sz w:val="28"/>
          <w:szCs w:val="28"/>
        </w:rPr>
        <w:t xml:space="preserve">, Prace Naukowe Akademii Ekonomicznej we Wrocławiu nr 325, seria Monografie i Opracowania nr 29, 1986; </w:t>
      </w:r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Wstęp do programowania w języku Pascal</w:t>
      </w:r>
      <w:r w:rsidRPr="003C21CF">
        <w:rPr>
          <w:rFonts w:ascii="Times New Roman" w:hAnsi="Times New Roman" w:cs="Times New Roman"/>
          <w:sz w:val="28"/>
          <w:szCs w:val="28"/>
        </w:rPr>
        <w:t xml:space="preserve">, PWE, Warszawa 1989; </w:t>
      </w:r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Zarządzanie bankiem komercyjnym</w:t>
      </w:r>
      <w:r w:rsidRPr="003C21CF">
        <w:rPr>
          <w:rFonts w:ascii="Times New Roman" w:hAnsi="Times New Roman" w:cs="Times New Roman"/>
          <w:sz w:val="28"/>
          <w:szCs w:val="28"/>
        </w:rPr>
        <w:t xml:space="preserve">, PWE, Warszawa 2000; </w:t>
      </w:r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Bankowość elektroniczna</w:t>
      </w:r>
      <w:r w:rsidRPr="003C21CF">
        <w:rPr>
          <w:rFonts w:ascii="Times New Roman" w:hAnsi="Times New Roman" w:cs="Times New Roman"/>
          <w:sz w:val="28"/>
          <w:szCs w:val="28"/>
        </w:rPr>
        <w:t xml:space="preserve">, PWE, Warszawa 2005; </w:t>
      </w:r>
      <w:proofErr w:type="spellStart"/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Die</w:t>
      </w:r>
      <w:proofErr w:type="spellEnd"/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Ermittlung</w:t>
      </w:r>
      <w:proofErr w:type="spellEnd"/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operationellen</w:t>
      </w:r>
      <w:proofErr w:type="spellEnd"/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Risiken</w:t>
      </w:r>
      <w:proofErr w:type="spellEnd"/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Kreditinsti-tutionen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, [w:]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Informationssysteme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Daten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, Information,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Wissen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Haring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, D.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Karagiannis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Hrsg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Österreichische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1CF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Pr="003C21CF">
        <w:rPr>
          <w:rFonts w:ascii="Times New Roman" w:hAnsi="Times New Roman" w:cs="Times New Roman"/>
          <w:sz w:val="28"/>
          <w:szCs w:val="28"/>
        </w:rPr>
        <w:t xml:space="preserve">, Wien 2007; </w:t>
      </w:r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Funkcjonowanie spółdzielczych grup bankowych w Polsce i wybranych krajach Unii Europejskiej</w:t>
      </w:r>
      <w:r w:rsidRPr="003C21CF">
        <w:rPr>
          <w:rFonts w:ascii="Times New Roman" w:hAnsi="Times New Roman" w:cs="Times New Roman"/>
          <w:sz w:val="28"/>
          <w:szCs w:val="28"/>
        </w:rPr>
        <w:t xml:space="preserve">, Wydawnictwo Uniwersytetu Ekonomicznego we Wrocławiu, Wrocław 2008; </w:t>
      </w:r>
      <w:r w:rsidRPr="003C21CF">
        <w:rPr>
          <w:rStyle w:val="Uwydatnienie"/>
          <w:rFonts w:ascii="Times New Roman" w:hAnsi="Times New Roman" w:cs="Times New Roman"/>
          <w:sz w:val="28"/>
          <w:szCs w:val="28"/>
        </w:rPr>
        <w:t>Zarządzanie instytucjami kredytowymi,</w:t>
      </w:r>
      <w:r w:rsidRPr="003C21CF">
        <w:rPr>
          <w:rFonts w:ascii="Times New Roman" w:hAnsi="Times New Roman" w:cs="Times New Roman"/>
          <w:sz w:val="28"/>
          <w:szCs w:val="28"/>
        </w:rPr>
        <w:t xml:space="preserve"> C.H. Beck, Warszawa 2012.</w:t>
      </w:r>
    </w:p>
    <w:p w:rsidR="00000ED4" w:rsidRPr="003C21CF" w:rsidRDefault="00194535" w:rsidP="003B35F3">
      <w:pPr>
        <w:jc w:val="both"/>
        <w:rPr>
          <w:rFonts w:ascii="Times New Roman" w:hAnsi="Times New Roman" w:cs="Times New Roman"/>
          <w:sz w:val="28"/>
          <w:szCs w:val="28"/>
        </w:rPr>
      </w:pPr>
      <w:r w:rsidRPr="003C21CF">
        <w:rPr>
          <w:rFonts w:ascii="Times New Roman" w:hAnsi="Times New Roman" w:cs="Times New Roman"/>
          <w:sz w:val="28"/>
          <w:szCs w:val="28"/>
        </w:rPr>
        <w:t xml:space="preserve">W roku 1989 został odznaczony Złotym Krzyżem Zasługi, zaś w 1997 – Krzyżem Kawalerskim Orderu Odrodzenia Polski. </w:t>
      </w:r>
    </w:p>
    <w:sectPr w:rsidR="00000ED4" w:rsidRPr="003C2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D4"/>
    <w:rsid w:val="00000ED4"/>
    <w:rsid w:val="00194535"/>
    <w:rsid w:val="00327244"/>
    <w:rsid w:val="003B35F3"/>
    <w:rsid w:val="003C21CF"/>
    <w:rsid w:val="00760004"/>
    <w:rsid w:val="00AB4E1D"/>
    <w:rsid w:val="00CE2AE8"/>
    <w:rsid w:val="00E24BA1"/>
    <w:rsid w:val="00EF5520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94535"/>
    <w:rPr>
      <w:b/>
      <w:bCs/>
    </w:rPr>
  </w:style>
  <w:style w:type="character" w:styleId="Uwydatnienie">
    <w:name w:val="Emphasis"/>
    <w:basedOn w:val="Domylnaczcionkaakapitu"/>
    <w:uiPriority w:val="20"/>
    <w:qFormat/>
    <w:rsid w:val="001945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94535"/>
    <w:rPr>
      <w:b/>
      <w:bCs/>
    </w:rPr>
  </w:style>
  <w:style w:type="character" w:styleId="Uwydatnienie">
    <w:name w:val="Emphasis"/>
    <w:basedOn w:val="Domylnaczcionkaakapitu"/>
    <w:uiPriority w:val="20"/>
    <w:qFormat/>
    <w:rsid w:val="00194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2014-04-07T09:49:00Z</cp:lastPrinted>
  <dcterms:created xsi:type="dcterms:W3CDTF">2016-12-19T12:51:00Z</dcterms:created>
  <dcterms:modified xsi:type="dcterms:W3CDTF">2016-12-19T12:52:00Z</dcterms:modified>
</cp:coreProperties>
</file>